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C4" w:rsidRPr="003011C4" w:rsidRDefault="003011C4" w:rsidP="003011C4">
      <w:pPr>
        <w:spacing w:after="150" w:line="264" w:lineRule="atLeast"/>
        <w:outlineLvl w:val="0"/>
        <w:rPr>
          <w:rFonts w:ascii="Georgia" w:eastAsia="Times New Roman" w:hAnsi="Georgia" w:cs="Times New Roman"/>
          <w:bCs w:val="0"/>
          <w:color w:val="333333"/>
          <w:kern w:val="36"/>
          <w:sz w:val="33"/>
          <w:szCs w:val="33"/>
          <w:lang w:eastAsia="it-IT"/>
        </w:rPr>
      </w:pPr>
      <w:proofErr w:type="spellStart"/>
      <w:r w:rsidRPr="003011C4">
        <w:rPr>
          <w:rFonts w:ascii="Georgia" w:eastAsia="Times New Roman" w:hAnsi="Georgia" w:cs="Times New Roman"/>
          <w:bCs w:val="0"/>
          <w:color w:val="333333"/>
          <w:kern w:val="36"/>
          <w:sz w:val="33"/>
          <w:szCs w:val="33"/>
          <w:lang w:eastAsia="it-IT"/>
        </w:rPr>
        <w:t>Oasis</w:t>
      </w:r>
      <w:proofErr w:type="spellEnd"/>
      <w:r w:rsidRPr="003011C4">
        <w:rPr>
          <w:rFonts w:ascii="Georgia" w:eastAsia="Times New Roman" w:hAnsi="Georgia" w:cs="Times New Roman"/>
          <w:bCs w:val="0"/>
          <w:color w:val="333333"/>
          <w:kern w:val="36"/>
          <w:sz w:val="33"/>
          <w:szCs w:val="33"/>
          <w:lang w:eastAsia="it-IT"/>
        </w:rPr>
        <w:t xml:space="preserve"> e l'Islam nel XXI secolo</w:t>
      </w:r>
    </w:p>
    <w:p w:rsidR="003011C4" w:rsidRPr="003011C4" w:rsidRDefault="003011C4" w:rsidP="003011C4">
      <w:pPr>
        <w:spacing w:before="150" w:after="150" w:line="288" w:lineRule="atLeast"/>
        <w:outlineLvl w:val="1"/>
        <w:rPr>
          <w:rFonts w:ascii="Georgia" w:eastAsia="Times New Roman" w:hAnsi="Georgia" w:cs="Times New Roman"/>
          <w:bCs w:val="0"/>
          <w:color w:val="333333"/>
          <w:sz w:val="24"/>
          <w:szCs w:val="24"/>
          <w:lang w:eastAsia="it-IT"/>
        </w:rPr>
      </w:pPr>
      <w:proofErr w:type="spellStart"/>
      <w:r w:rsidRPr="003011C4">
        <w:rPr>
          <w:rFonts w:ascii="Georgia" w:eastAsia="Times New Roman" w:hAnsi="Georgia" w:cs="Times New Roman"/>
          <w:bCs w:val="0"/>
          <w:color w:val="333333"/>
          <w:sz w:val="24"/>
          <w:szCs w:val="24"/>
          <w:lang w:eastAsia="it-IT"/>
        </w:rPr>
        <w:t>Oasis</w:t>
      </w:r>
      <w:proofErr w:type="spellEnd"/>
      <w:r w:rsidRPr="003011C4">
        <w:rPr>
          <w:rFonts w:ascii="Georgia" w:eastAsia="Times New Roman" w:hAnsi="Georgia" w:cs="Times New Roman"/>
          <w:bCs w:val="0"/>
          <w:color w:val="333333"/>
          <w:sz w:val="24"/>
          <w:szCs w:val="24"/>
          <w:lang w:eastAsia="it-IT"/>
        </w:rPr>
        <w:t xml:space="preserve"> n. 21,</w:t>
      </w:r>
      <w:r w:rsidRPr="003011C4">
        <w:rPr>
          <w:rFonts w:ascii="Georgia" w:eastAsia="Times New Roman" w:hAnsi="Georgia" w:cs="Times New Roman"/>
          <w:bCs w:val="0"/>
          <w:color w:val="333333"/>
          <w:sz w:val="24"/>
          <w:lang w:eastAsia="it-IT"/>
        </w:rPr>
        <w:t> </w:t>
      </w:r>
      <w:r w:rsidRPr="003011C4">
        <w:rPr>
          <w:rFonts w:ascii="Georgia" w:eastAsia="Times New Roman" w:hAnsi="Georgia" w:cs="Times New Roman"/>
          <w:bCs w:val="0"/>
          <w:i/>
          <w:iCs/>
          <w:color w:val="333333"/>
          <w:sz w:val="24"/>
          <w:lang w:eastAsia="it-IT"/>
        </w:rPr>
        <w:t>L’Islam al crocevia. Tradizione, riforma, jihad</w:t>
      </w:r>
      <w:r w:rsidRPr="003011C4">
        <w:rPr>
          <w:rFonts w:ascii="Georgia" w:eastAsia="Times New Roman" w:hAnsi="Georgia" w:cs="Times New Roman"/>
          <w:bCs w:val="0"/>
          <w:color w:val="333333"/>
          <w:sz w:val="24"/>
          <w:szCs w:val="24"/>
          <w:lang w:eastAsia="it-IT"/>
        </w:rPr>
        <w:t>, Marsilio, giugno 2015</w:t>
      </w:r>
    </w:p>
    <w:p w:rsidR="003011C4" w:rsidRPr="003011C4" w:rsidRDefault="003011C4" w:rsidP="003011C4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it-IT"/>
        </w:rPr>
      </w:pPr>
      <w:r w:rsidRPr="003011C4">
        <w:rPr>
          <w:rFonts w:ascii="Helvetica" w:eastAsia="Times New Roman" w:hAnsi="Helvetica" w:cs="Helvetica"/>
          <w:bCs w:val="0"/>
          <w:color w:val="004C66"/>
          <w:sz w:val="21"/>
          <w:lang w:eastAsia="it-IT"/>
        </w:rPr>
        <w:t>Franco Cardini | venerdì 11 settembre 2015</w:t>
      </w:r>
    </w:p>
    <w:p w:rsidR="003011C4" w:rsidRPr="003011C4" w:rsidRDefault="003011C4" w:rsidP="003011C4">
      <w:pPr>
        <w:spacing w:after="150" w:line="300" w:lineRule="atLeast"/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</w:pPr>
      <w:r w:rsidRPr="003011C4">
        <w:rPr>
          <w:rFonts w:ascii="Helvetica" w:eastAsia="Times New Roman" w:hAnsi="Helvetica" w:cs="Helvetica"/>
          <w:b/>
          <w:color w:val="333333"/>
          <w:sz w:val="21"/>
          <w:lang w:eastAsia="it-IT"/>
        </w:rPr>
        <w:t xml:space="preserve">Gli eventi recenti – primi fra tutti la dinamica avviata nel Vicino Oriente e in Africa dalla presenza dello “stato islamico” del califfo </w:t>
      </w:r>
      <w:proofErr w:type="spellStart"/>
      <w:r w:rsidRPr="003011C4">
        <w:rPr>
          <w:rFonts w:ascii="Helvetica" w:eastAsia="Times New Roman" w:hAnsi="Helvetica" w:cs="Helvetica"/>
          <w:b/>
          <w:color w:val="333333"/>
          <w:sz w:val="21"/>
          <w:lang w:eastAsia="it-IT"/>
        </w:rPr>
        <w:t>al-Baghdadi</w:t>
      </w:r>
      <w:proofErr w:type="spellEnd"/>
      <w:r w:rsidRPr="003011C4">
        <w:rPr>
          <w:rFonts w:ascii="Helvetica" w:eastAsia="Times New Roman" w:hAnsi="Helvetica" w:cs="Helvetica"/>
          <w:b/>
          <w:color w:val="333333"/>
          <w:sz w:val="21"/>
          <w:lang w:eastAsia="it-IT"/>
        </w:rPr>
        <w:t> 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e l’</w:t>
      </w:r>
      <w:proofErr w:type="spellStart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avvìo</w:t>
      </w:r>
      <w:proofErr w:type="spellEnd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 xml:space="preserve"> di una possibile soluzione diplomatica alla questione dell’</w:t>
      </w:r>
      <w:r w:rsidRPr="003011C4">
        <w:rPr>
          <w:rFonts w:ascii="Helvetica" w:eastAsia="Times New Roman" w:hAnsi="Helvetica" w:cs="Helvetica"/>
          <w:bCs w:val="0"/>
          <w:i/>
          <w:iCs/>
          <w:color w:val="333333"/>
          <w:sz w:val="21"/>
          <w:lang w:eastAsia="it-IT"/>
        </w:rPr>
        <w:t>embargo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lang w:eastAsia="it-IT"/>
        </w:rPr>
        <w:t> 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 xml:space="preserve">decretato contro l’Iran a causa del suo supposto programma di </w:t>
      </w:r>
      <w:proofErr w:type="spellStart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autodotazione</w:t>
      </w:r>
      <w:proofErr w:type="spellEnd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 xml:space="preserve"> di un’arma nucleare – obbligano a un generale ripensamento del ruolo dell’Islam in rapporto al nostro nuovo secolo e all’equilibrio mondiale.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lang w:eastAsia="it-IT"/>
        </w:rPr>
        <w:t> 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br/>
        <w:t>A questo riguardo segnalo l’importanza del numero del giugno 2015 della rivista “</w:t>
      </w:r>
      <w:proofErr w:type="spellStart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Oasis</w:t>
      </w:r>
      <w:proofErr w:type="spellEnd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 xml:space="preserve"> – cristiani e musulmani nel mondo globale”, organo della Fondazione Internazionale </w:t>
      </w:r>
      <w:proofErr w:type="spellStart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Oasis</w:t>
      </w:r>
      <w:proofErr w:type="spellEnd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 xml:space="preserve"> il cui comitato promotore è presieduto dal cardinal Angelo Scola e che si pubblica in quattro lingue (italiano, francese, inglese e arabo). Tale numero reca un titolo e un sottotitolo del tutto eloquenti: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lang w:eastAsia="it-IT"/>
        </w:rPr>
        <w:t> </w:t>
      </w:r>
      <w:r w:rsidRPr="003011C4">
        <w:rPr>
          <w:rFonts w:ascii="Helvetica" w:eastAsia="Times New Roman" w:hAnsi="Helvetica" w:cs="Helvetica"/>
          <w:bCs w:val="0"/>
          <w:i/>
          <w:iCs/>
          <w:color w:val="333333"/>
          <w:sz w:val="21"/>
          <w:lang w:eastAsia="it-IT"/>
        </w:rPr>
        <w:t>L’Islam al crocevia. Tradizione, riforma, jihad. La crisi attuale affonda le sue radici in un secolo lungo di rinnovamenti e chiusure. La lezione del passato, il dibattito di oggi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.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lang w:eastAsia="it-IT"/>
        </w:rPr>
        <w:t> 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br/>
      </w:r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br/>
      </w:r>
      <w:r w:rsidRPr="003011C4">
        <w:rPr>
          <w:rFonts w:ascii="Helvetica" w:eastAsia="Times New Roman" w:hAnsi="Helvetica" w:cs="Helvetica"/>
          <w:b/>
          <w:color w:val="333333"/>
          <w:sz w:val="21"/>
          <w:lang w:eastAsia="it-IT"/>
        </w:rPr>
        <w:t>In 142 pagine dense di articoli e recensioni, un gruppo di specialisti e di osservatori attenti cerca di mettere a fuoco i problemi salienti della crisi dell’Islam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lang w:eastAsia="it-IT"/>
        </w:rPr>
        <w:t> 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e soprattutto di rispondere all’urgente questione se essa sia crisi strutturale o episodica, temporanea o irreversibile, “di sviluppo” o “di decadenza”; e se i suoi risultati saranno un riacquisto di equilibrio o un’intrinseca mutazione o addirittura l’</w:t>
      </w:r>
      <w:proofErr w:type="spellStart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avvìo</w:t>
      </w:r>
      <w:proofErr w:type="spellEnd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 xml:space="preserve"> di una fase che potrebbe configurarsi come letale. Ciò tenendo presente che, in questi anni di conclusione di quella che </w:t>
      </w:r>
      <w:proofErr w:type="spellStart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Zygmunt</w:t>
      </w:r>
      <w:proofErr w:type="spellEnd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 xml:space="preserve"> </w:t>
      </w:r>
      <w:proofErr w:type="spellStart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Bauman</w:t>
      </w:r>
      <w:proofErr w:type="spellEnd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 xml:space="preserve"> definisce “Modernità solida”, la crisi appare come generale, onnipresente, e riguarda tutte le fedi e i culti religiosi non meno di altri aspetti della vita del genere umano. In altri termini, se l’Islam è in crisi, esso è in buona compagnia.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lang w:eastAsia="it-IT"/>
        </w:rPr>
        <w:t> 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br/>
      </w:r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br/>
      </w:r>
      <w:r w:rsidRPr="003011C4">
        <w:rPr>
          <w:rFonts w:ascii="Helvetica" w:eastAsia="Times New Roman" w:hAnsi="Helvetica" w:cs="Helvetica"/>
          <w:b/>
          <w:color w:val="333333"/>
          <w:sz w:val="21"/>
          <w:lang w:eastAsia="it-IT"/>
        </w:rPr>
        <w:t>Nel consigliare la lettura di questo fascicolo di sintesi davvero preziosa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lang w:eastAsia="it-IT"/>
        </w:rPr>
        <w:t> 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(lo si può richiedere alla sua casa editrice, la veneziana Marsilio, oppure scrivendo a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lang w:eastAsia="it-IT"/>
        </w:rPr>
        <w:t> </w:t>
      </w:r>
      <w:hyperlink r:id="rId4" w:tgtFrame="_blank" w:tooltip="" w:history="1">
        <w:r w:rsidRPr="003011C4">
          <w:rPr>
            <w:rFonts w:ascii="Helvetica" w:eastAsia="Times New Roman" w:hAnsi="Helvetica" w:cs="Helvetica"/>
            <w:bCs w:val="0"/>
            <w:color w:val="004C66"/>
            <w:sz w:val="21"/>
            <w:u w:val="single"/>
            <w:lang w:eastAsia="it-IT"/>
          </w:rPr>
          <w:t>oasis@fondazioneoasis.org</w:t>
        </w:r>
      </w:hyperlink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), mi limito a segnalare che nel saggio di apertura dal titolo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lang w:eastAsia="it-IT"/>
        </w:rPr>
        <w:t> </w:t>
      </w:r>
      <w:r w:rsidRPr="003011C4">
        <w:rPr>
          <w:rFonts w:ascii="Helvetica" w:eastAsia="Times New Roman" w:hAnsi="Helvetica" w:cs="Helvetica"/>
          <w:bCs w:val="0"/>
          <w:i/>
          <w:iCs/>
          <w:color w:val="333333"/>
          <w:sz w:val="21"/>
          <w:lang w:eastAsia="it-IT"/>
        </w:rPr>
        <w:t>Il secolo lungo dell’Islam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lang w:eastAsia="it-IT"/>
        </w:rPr>
        <w:t> 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 xml:space="preserve">che sembra arieggiare a una replica rispetto alle tesi di Eric </w:t>
      </w:r>
      <w:proofErr w:type="spellStart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Hobsbawm</w:t>
      </w:r>
      <w:proofErr w:type="spellEnd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 xml:space="preserve"> a proposito del Novecento come “secolo breve”, Martino </w:t>
      </w:r>
      <w:proofErr w:type="spellStart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Diez</w:t>
      </w:r>
      <w:proofErr w:type="spellEnd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 xml:space="preserve"> parte dalla considerazione – che dal mio canto ritengo assolutamente condivisibile – che esso, almeno per l’Islam, vada inteso e considerato invece come “secolo lungo” che parte dall’inizio dell’Ottocento. La rivista svolge il tema delle tesi interne all’Islam, a partire soprattutto dal magistero di Muhammad ‘</w:t>
      </w:r>
      <w:proofErr w:type="spellStart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Abduh</w:t>
      </w:r>
      <w:proofErr w:type="spellEnd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 xml:space="preserve"> (1849-1905); per quanto mi riguarda, facendo tesoro di tale indicazione proporrei una parallela considerazione dei rapporti tra Islam e Occidente, ai quali evidentemente lo sviluppo interno del pensiero musulmano è strettamente connesso. Ma tutto ciò conduce a due eventi, situati oltre un secolo di distanza l’uno dall’altro, che hanno profondamente inciso sulla vita dell’Islam in generale, di quello arabo in particolare: lo sbarco del Bonaparte in Egitto nel 1798 e la “rivolta araba” del 1916 con l’annesso inganno del trattato </w:t>
      </w:r>
      <w:proofErr w:type="spellStart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Sykes-Picot</w:t>
      </w:r>
      <w:proofErr w:type="spellEnd"/>
      <w:r w:rsidRPr="003011C4">
        <w:rPr>
          <w:rFonts w:ascii="Helvetica" w:eastAsia="Times New Roman" w:hAnsi="Helvetica" w:cs="Helvetica"/>
          <w:bCs w:val="0"/>
          <w:color w:val="333333"/>
          <w:sz w:val="21"/>
          <w:szCs w:val="21"/>
          <w:lang w:eastAsia="it-IT"/>
        </w:rPr>
        <w:t>.</w:t>
      </w:r>
      <w:r w:rsidRPr="003011C4">
        <w:rPr>
          <w:rFonts w:ascii="Helvetica" w:eastAsia="Times New Roman" w:hAnsi="Helvetica" w:cs="Helvetica"/>
          <w:bCs w:val="0"/>
          <w:color w:val="333333"/>
          <w:sz w:val="21"/>
          <w:lang w:eastAsia="it-IT"/>
        </w:rPr>
        <w:t> </w:t>
      </w:r>
    </w:p>
    <w:p w:rsidR="00273E5D" w:rsidRDefault="00273E5D"/>
    <w:sectPr w:rsidR="00273E5D" w:rsidSect="00273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11C4"/>
    <w:rsid w:val="00273E5D"/>
    <w:rsid w:val="003011C4"/>
    <w:rsid w:val="00DC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Segoe UI"/>
        <w:bCs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E5D"/>
  </w:style>
  <w:style w:type="paragraph" w:styleId="Titolo1">
    <w:name w:val="heading 1"/>
    <w:basedOn w:val="Normale"/>
    <w:link w:val="Titolo1Carattere"/>
    <w:uiPriority w:val="9"/>
    <w:qFormat/>
    <w:rsid w:val="00301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01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11C4"/>
    <w:rPr>
      <w:rFonts w:ascii="Times New Roman" w:eastAsia="Times New Roman" w:hAnsi="Times New Roman" w:cs="Times New Roman"/>
      <w:b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11C4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3011C4"/>
  </w:style>
  <w:style w:type="character" w:styleId="Enfasicorsivo">
    <w:name w:val="Emphasis"/>
    <w:basedOn w:val="Carpredefinitoparagrafo"/>
    <w:uiPriority w:val="20"/>
    <w:qFormat/>
    <w:rsid w:val="003011C4"/>
    <w:rPr>
      <w:i/>
      <w:iCs/>
    </w:rPr>
  </w:style>
  <w:style w:type="character" w:customStyle="1" w:styleId="signature">
    <w:name w:val="signature"/>
    <w:basedOn w:val="Carpredefinitoparagrafo"/>
    <w:rsid w:val="003011C4"/>
  </w:style>
  <w:style w:type="paragraph" w:styleId="NormaleWeb">
    <w:name w:val="Normal (Web)"/>
    <w:basedOn w:val="Normale"/>
    <w:uiPriority w:val="99"/>
    <w:semiHidden/>
    <w:unhideWhenUsed/>
    <w:rsid w:val="0030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11C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01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siscenter.eu/it/recensioni/2015/09/11/oasis@fondazioneoasi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2015-09-16T16:23:00Z</dcterms:created>
  <dcterms:modified xsi:type="dcterms:W3CDTF">2015-09-16T16:24:00Z</dcterms:modified>
</cp:coreProperties>
</file>